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897BB7" w:rsidRPr="00525C7E" w:rsidRDefault="00897BB7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004AB1" w:rsidRPr="00004A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Zabezpieczenie osuwiska wraz 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br/>
      </w:r>
      <w:r w:rsidR="00004AB1" w:rsidRPr="00004A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rozbudową 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>DW</w:t>
      </w:r>
      <w:r w:rsidR="00004A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977 </w:t>
      </w:r>
      <w:r w:rsidR="00004AB1" w:rsidRPr="00004AB1">
        <w:rPr>
          <w:rFonts w:ascii="Arial" w:eastAsia="Times New Roman" w:hAnsi="Arial" w:cs="Arial"/>
          <w:b/>
          <w:i/>
          <w:sz w:val="20"/>
          <w:szCs w:val="20"/>
          <w:lang w:eastAsia="ar-SA"/>
        </w:rPr>
        <w:t>w m. Nowodworze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525C7E" w:rsidRDefault="00897BB7" w:rsidP="00403C9F">
      <w:pPr>
        <w:tabs>
          <w:tab w:val="left" w:pos="284"/>
          <w:tab w:val="right" w:pos="974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25C7E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18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 od daty zawarci</w:t>
      </w:r>
      <w:r w:rsidR="00FA7E6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 </w:t>
      </w:r>
      <w:r w:rsidR="00FA7E6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="00496E23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umowy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wowego, dla którego udzielamy 36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525C7E" w:rsidRPr="00525C7E">
        <w:rPr>
          <w:rFonts w:ascii="Arial" w:eastAsia="Times New Roman" w:hAnsi="Arial" w:cs="Times New Roman"/>
          <w:sz w:val="20"/>
          <w:szCs w:val="20"/>
          <w:lang w:eastAsia="ar-SA"/>
        </w:rPr>
        <w:t xml:space="preserve"> oraz 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oznakowania poziomego cienkowarstwowego, dla którego udzielamy 12-miesięcznej gwarancji i rękojmi licząc od daty odbioru końcowego przedmiotu umowy.</w:t>
      </w:r>
    </w:p>
    <w:p w:rsidR="00EA78C3" w:rsidRPr="0008136F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FE02A3" w:rsidRPr="0008136F"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FE02A3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dwieście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1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od których dane osobowe bezpośrednio lub pośrednio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>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2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2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527C58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527C58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ABA" w:rsidRPr="00525C7E" w:rsidRDefault="00850328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3" w:name="_Hlk37412176"/>
      <w:bookmarkStart w:id="4" w:name="_GoBack"/>
      <w:bookmarkEnd w:id="3"/>
      <w:bookmarkEnd w:id="4"/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7pt;margin-top:35.35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C58" w:rsidRDefault="00527C58" w:rsidP="00897BB7">
      <w:pPr>
        <w:spacing w:after="0" w:line="240" w:lineRule="auto"/>
      </w:pPr>
      <w:r>
        <w:separator/>
      </w:r>
    </w:p>
  </w:endnote>
  <w:endnote w:type="continuationSeparator" w:id="0">
    <w:p w:rsidR="00527C58" w:rsidRDefault="00527C58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04AB1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04AB1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C58" w:rsidRDefault="00527C58" w:rsidP="00897BB7">
      <w:pPr>
        <w:spacing w:after="0" w:line="240" w:lineRule="auto"/>
      </w:pPr>
      <w:r>
        <w:separator/>
      </w:r>
    </w:p>
  </w:footnote>
  <w:footnote w:type="continuationSeparator" w:id="0">
    <w:p w:rsidR="00527C58" w:rsidRDefault="00527C58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527C5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527C58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527C58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525C7E">
      <w:rPr>
        <w:rFonts w:ascii="Arial" w:hAnsi="Arial" w:cs="Arial"/>
        <w:sz w:val="16"/>
        <w:szCs w:val="16"/>
        <w:lang w:eastAsia="pl-PL"/>
      </w:rPr>
      <w:t>1/24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C61AC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E42F7"/>
    <w:rsid w:val="004F049C"/>
    <w:rsid w:val="004F76A6"/>
    <w:rsid w:val="00515DC6"/>
    <w:rsid w:val="00525C7E"/>
    <w:rsid w:val="00527C58"/>
    <w:rsid w:val="00574949"/>
    <w:rsid w:val="00627D38"/>
    <w:rsid w:val="00676D73"/>
    <w:rsid w:val="00685E2C"/>
    <w:rsid w:val="0068653F"/>
    <w:rsid w:val="006A7E48"/>
    <w:rsid w:val="006E28E5"/>
    <w:rsid w:val="006E7E72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B27A5"/>
    <w:rsid w:val="00A02ABA"/>
    <w:rsid w:val="00A16F87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80DEB"/>
    <w:rsid w:val="00CF1B93"/>
    <w:rsid w:val="00D16893"/>
    <w:rsid w:val="00D227D7"/>
    <w:rsid w:val="00D3361B"/>
    <w:rsid w:val="00D34582"/>
    <w:rsid w:val="00DD3D65"/>
    <w:rsid w:val="00E02EE1"/>
    <w:rsid w:val="00E50F19"/>
    <w:rsid w:val="00EA78C3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98D43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1599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40</cp:revision>
  <dcterms:created xsi:type="dcterms:W3CDTF">2021-04-21T06:54:00Z</dcterms:created>
  <dcterms:modified xsi:type="dcterms:W3CDTF">2024-02-06T13:03:00Z</dcterms:modified>
</cp:coreProperties>
</file>